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5D1" w:rsidRPr="00B266B0" w:rsidRDefault="004E15D1" w:rsidP="004E15D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Pr>
          <w:noProof w:val="0"/>
          <w:sz w:val="24"/>
          <w:szCs w:val="24"/>
        </w:rPr>
        <w:t>94</w:t>
      </w:r>
      <w:r w:rsidRPr="00B266B0">
        <w:rPr>
          <w:bCs/>
          <w:noProof w:val="0"/>
          <w:sz w:val="24"/>
          <w:szCs w:val="24"/>
        </w:rPr>
        <w:tab/>
      </w:r>
      <w:r w:rsidRPr="00B15F01">
        <w:rPr>
          <w:rFonts w:hint="eastAsia"/>
          <w:bCs/>
          <w:noProof w:val="0"/>
          <w:sz w:val="24"/>
          <w:szCs w:val="24"/>
        </w:rPr>
        <w:t>R</w:t>
      </w:r>
      <w:r w:rsidRPr="00B15F01">
        <w:rPr>
          <w:bCs/>
          <w:noProof w:val="0"/>
          <w:sz w:val="24"/>
          <w:szCs w:val="24"/>
        </w:rPr>
        <w:t>2</w:t>
      </w:r>
      <w:r w:rsidRPr="00B15F01">
        <w:rPr>
          <w:rFonts w:hint="eastAsia"/>
          <w:bCs/>
          <w:noProof w:val="0"/>
          <w:sz w:val="24"/>
          <w:szCs w:val="24"/>
        </w:rPr>
        <w:t>-</w:t>
      </w:r>
      <w:r w:rsidRPr="00B15F01">
        <w:rPr>
          <w:bCs/>
          <w:noProof w:val="0"/>
          <w:sz w:val="24"/>
          <w:szCs w:val="24"/>
        </w:rPr>
        <w:t>16</w:t>
      </w:r>
      <w:r w:rsidRPr="00900FE0">
        <w:rPr>
          <w:bCs/>
          <w:noProof w:val="0"/>
          <w:sz w:val="24"/>
          <w:szCs w:val="24"/>
        </w:rPr>
        <w:t>34</w:t>
      </w:r>
      <w:r>
        <w:rPr>
          <w:bCs/>
          <w:noProof w:val="0"/>
          <w:sz w:val="24"/>
          <w:szCs w:val="24"/>
        </w:rPr>
        <w:t>45</w:t>
      </w:r>
    </w:p>
    <w:p w:rsidR="004E15D1" w:rsidRPr="00B266B0" w:rsidRDefault="004E15D1" w:rsidP="004E15D1">
      <w:pPr>
        <w:pStyle w:val="Header"/>
        <w:tabs>
          <w:tab w:val="right" w:pos="9639"/>
        </w:tabs>
        <w:rPr>
          <w:bCs/>
          <w:noProof w:val="0"/>
          <w:sz w:val="24"/>
          <w:szCs w:val="24"/>
        </w:rPr>
      </w:pPr>
      <w:r>
        <w:rPr>
          <w:noProof w:val="0"/>
          <w:sz w:val="24"/>
          <w:szCs w:val="24"/>
          <w:lang w:eastAsia="zh-CN"/>
        </w:rPr>
        <w:t>Nanjing, China</w:t>
      </w:r>
      <w:r w:rsidRPr="009B07CD">
        <w:rPr>
          <w:noProof w:val="0"/>
          <w:sz w:val="24"/>
          <w:szCs w:val="24"/>
          <w:lang w:eastAsia="zh-CN"/>
        </w:rPr>
        <w:t xml:space="preserve">, </w:t>
      </w:r>
      <w:r>
        <w:rPr>
          <w:noProof w:val="0"/>
          <w:sz w:val="24"/>
          <w:szCs w:val="24"/>
          <w:lang w:eastAsia="zh-CN"/>
        </w:rPr>
        <w:t>23</w:t>
      </w:r>
      <w:r w:rsidRPr="009B07CD">
        <w:rPr>
          <w:noProof w:val="0"/>
          <w:sz w:val="24"/>
          <w:szCs w:val="24"/>
          <w:lang w:eastAsia="zh-CN"/>
        </w:rPr>
        <w:t xml:space="preserve"> - </w:t>
      </w:r>
      <w:r>
        <w:rPr>
          <w:noProof w:val="0"/>
          <w:sz w:val="24"/>
          <w:szCs w:val="24"/>
          <w:lang w:eastAsia="zh-CN"/>
        </w:rPr>
        <w:t>27</w:t>
      </w:r>
      <w:r w:rsidRPr="009B07CD">
        <w:rPr>
          <w:noProof w:val="0"/>
          <w:sz w:val="24"/>
          <w:szCs w:val="24"/>
          <w:lang w:eastAsia="zh-CN"/>
        </w:rPr>
        <w:t xml:space="preserve"> </w:t>
      </w:r>
      <w:r>
        <w:rPr>
          <w:noProof w:val="0"/>
          <w:sz w:val="24"/>
          <w:szCs w:val="24"/>
          <w:lang w:eastAsia="zh-CN"/>
        </w:rPr>
        <w:t xml:space="preserve">May </w:t>
      </w:r>
      <w:r w:rsidRPr="009B07CD">
        <w:rPr>
          <w:noProof w:val="0"/>
          <w:sz w:val="24"/>
          <w:szCs w:val="24"/>
          <w:lang w:eastAsia="zh-CN"/>
        </w:rPr>
        <w:t>2016</w:t>
      </w:r>
    </w:p>
    <w:p w:rsidR="004E15D1" w:rsidRPr="00B266B0" w:rsidRDefault="004E15D1" w:rsidP="004E15D1">
      <w:pPr>
        <w:pStyle w:val="Header"/>
        <w:rPr>
          <w:bCs/>
          <w:noProof w:val="0"/>
          <w:sz w:val="24"/>
        </w:rPr>
      </w:pPr>
    </w:p>
    <w:p w:rsidR="004E15D1" w:rsidRPr="00B266B0" w:rsidRDefault="004E15D1" w:rsidP="004E15D1">
      <w:pPr>
        <w:pStyle w:val="Header"/>
        <w:rPr>
          <w:bCs/>
          <w:noProof w:val="0"/>
          <w:sz w:val="24"/>
        </w:rPr>
      </w:pPr>
    </w:p>
    <w:p w:rsidR="004E15D1" w:rsidRPr="00B266B0" w:rsidRDefault="004E15D1" w:rsidP="004E15D1">
      <w:pPr>
        <w:pStyle w:val="CRCoverPage"/>
        <w:tabs>
          <w:tab w:val="left" w:pos="1985"/>
        </w:tabs>
        <w:rPr>
          <w:rFonts w:cs="Arial"/>
          <w:b/>
          <w:bCs/>
          <w:sz w:val="24"/>
          <w:lang w:eastAsia="ja-JP"/>
        </w:rPr>
      </w:pPr>
      <w:r w:rsidRPr="00B266B0">
        <w:rPr>
          <w:rFonts w:cs="Arial"/>
          <w:b/>
          <w:bCs/>
          <w:sz w:val="24"/>
        </w:rPr>
        <w:t xml:space="preserve">Agenda </w:t>
      </w:r>
      <w:r w:rsidRPr="00900FE0">
        <w:rPr>
          <w:rFonts w:cs="Arial"/>
          <w:b/>
          <w:bCs/>
          <w:sz w:val="24"/>
        </w:rPr>
        <w:t>item:</w:t>
      </w:r>
      <w:r w:rsidRPr="00900FE0">
        <w:rPr>
          <w:rFonts w:cs="Arial"/>
          <w:b/>
          <w:bCs/>
          <w:sz w:val="24"/>
        </w:rPr>
        <w:tab/>
      </w:r>
      <w:r>
        <w:rPr>
          <w:rFonts w:cs="Arial"/>
          <w:b/>
          <w:bCs/>
          <w:sz w:val="24"/>
          <w:lang w:eastAsia="ja-JP"/>
        </w:rPr>
        <w:t>9.6</w:t>
      </w:r>
    </w:p>
    <w:p w:rsidR="004E15D1" w:rsidRPr="00B266B0" w:rsidRDefault="004E15D1" w:rsidP="004E15D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rsidR="004E15D1" w:rsidRDefault="004E15D1" w:rsidP="004E15D1">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41C83" w:rsidRPr="00041C83">
        <w:rPr>
          <w:rFonts w:ascii="Arial" w:hAnsi="Arial" w:cs="Arial"/>
          <w:b/>
          <w:bCs/>
          <w:sz w:val="24"/>
        </w:rPr>
        <w:t>Scheduling Framework and Requirements</w:t>
      </w:r>
      <w:bookmarkStart w:id="1" w:name="_GoBack"/>
      <w:bookmarkEnd w:id="1"/>
    </w:p>
    <w:p w:rsidR="004E15D1" w:rsidRPr="00B266B0" w:rsidRDefault="004E15D1" w:rsidP="004E15D1">
      <w:pPr>
        <w:ind w:left="1985" w:hanging="1985"/>
        <w:rPr>
          <w:rFonts w:ascii="Arial" w:hAnsi="Arial" w:cs="Arial"/>
          <w:b/>
          <w:bCs/>
          <w:sz w:val="24"/>
        </w:rPr>
      </w:pPr>
      <w:r>
        <w:rPr>
          <w:rFonts w:ascii="Arial" w:hAnsi="Arial" w:cs="Arial"/>
          <w:b/>
          <w:bCs/>
          <w:sz w:val="24"/>
        </w:rPr>
        <w:t>WID/SID:</w:t>
      </w:r>
      <w:r>
        <w:rPr>
          <w:rFonts w:ascii="Arial" w:hAnsi="Arial" w:cs="Arial"/>
          <w:b/>
          <w:bCs/>
          <w:sz w:val="24"/>
        </w:rPr>
        <w:tab/>
        <w:t>FS_NR_newRAT - Release 14</w:t>
      </w:r>
    </w:p>
    <w:p w:rsidR="004E15D1" w:rsidRPr="00B266B0" w:rsidRDefault="004E15D1" w:rsidP="004E15D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3D2EB2" w:rsidRPr="00882DF1" w:rsidRDefault="003D2EB2" w:rsidP="004E15D1">
      <w:r w:rsidRPr="00882DF1">
        <w:t>In this contribution we outline the basic requirements and proposed working assumptions for moving forward with the 5G scheduler functionality. In this effort, we aim for a generic scheduler framework that offers the necessary flexibility for supporting the different services and scenarios outlined in 3GPP TR 38.913 [1].</w:t>
      </w:r>
    </w:p>
    <w:p w:rsidR="005320DC" w:rsidRPr="003D2EB2" w:rsidRDefault="00E176EA" w:rsidP="004E15D1">
      <w:r>
        <w:t>Section 2</w:t>
      </w:r>
      <w:r w:rsidR="003D2EB2" w:rsidRPr="00882DF1">
        <w:t xml:space="preserve"> outlines the scheduler functionality requirements, and the related motivation, while Section </w:t>
      </w:r>
      <w:r>
        <w:t>3</w:t>
      </w:r>
      <w:r w:rsidR="003D2EB2" w:rsidRPr="00882DF1">
        <w:t xml:space="preserve"> concludes the contribution with a set of proposals.</w:t>
      </w:r>
    </w:p>
    <w:p w:rsidR="00A8240F" w:rsidRDefault="00A8240F" w:rsidP="006A4807">
      <w:pPr>
        <w:pStyle w:val="Heading1"/>
      </w:pPr>
      <w:bookmarkStart w:id="2" w:name="OLE_LINK15"/>
      <w:bookmarkStart w:id="3" w:name="OLE_LINK16"/>
      <w:r>
        <w:t>2</w:t>
      </w:r>
      <w:r>
        <w:tab/>
      </w:r>
      <w:r w:rsidR="003D2EB2">
        <w:t>Scheduler design fundamentals and requirements</w:t>
      </w:r>
    </w:p>
    <w:p w:rsidR="003D2EB2" w:rsidRPr="00C61B6C" w:rsidRDefault="00C61B6C" w:rsidP="00C61B6C">
      <w:pPr>
        <w:pStyle w:val="Heading2"/>
      </w:pPr>
      <w:bookmarkStart w:id="4" w:name="OLE_LINK13"/>
      <w:bookmarkStart w:id="5" w:name="OLE_LINK14"/>
      <w:bookmarkEnd w:id="2"/>
      <w:bookmarkEnd w:id="3"/>
      <w:r w:rsidRPr="00C61B6C">
        <w:t xml:space="preserve">2.1 </w:t>
      </w:r>
      <w:r>
        <w:tab/>
      </w:r>
      <w:r w:rsidR="003D2EB2" w:rsidRPr="00C61B6C">
        <w:t>Basic scheduler considerations</w:t>
      </w:r>
    </w:p>
    <w:p w:rsidR="00CD40C4" w:rsidRPr="005546C6" w:rsidRDefault="00CD40C4" w:rsidP="004E15D1">
      <w:pPr>
        <w:rPr>
          <w:b/>
        </w:rPr>
      </w:pPr>
      <w:r w:rsidRPr="005546C6">
        <w:t xml:space="preserve">The basic functionality of network controlled dynamic scheduling </w:t>
      </w:r>
      <w:r>
        <w:t>(</w:t>
      </w:r>
      <w:r w:rsidRPr="005546C6">
        <w:t>as known also from LTE</w:t>
      </w:r>
      <w:r>
        <w:t>)</w:t>
      </w:r>
      <w:r w:rsidRPr="005546C6">
        <w:t xml:space="preserve"> is assumed to be adopted for 5G, where the eNB </w:t>
      </w:r>
      <w:r>
        <w:t>controls</w:t>
      </w:r>
      <w:r w:rsidRPr="005546C6">
        <w:t xml:space="preserve"> time-frequency transmission resources for the its users to transmit, or receive, transport blocks. The scheduling instructions from the eNB is issued to the UEs by transmitting </w:t>
      </w:r>
      <w:r>
        <w:t xml:space="preserve">downlink control information carrying UE </w:t>
      </w:r>
      <w:r w:rsidRPr="005546C6">
        <w:t xml:space="preserve">specific scheduling </w:t>
      </w:r>
      <w:r>
        <w:t xml:space="preserve">information for downlink allocation and uplink transmission </w:t>
      </w:r>
      <w:r w:rsidRPr="005546C6">
        <w:t>grants. Leading to the following proposal:</w:t>
      </w:r>
    </w:p>
    <w:p w:rsidR="003D2EB2" w:rsidRPr="005546C6" w:rsidRDefault="00CD40C4" w:rsidP="004E15D1">
      <w:r w:rsidRPr="005546C6">
        <w:rPr>
          <w:b/>
        </w:rPr>
        <w:t>Proposal 1:</w:t>
      </w:r>
      <w:r w:rsidRPr="005546C6">
        <w:t xml:space="preserve"> Network controlled dynamic scheduling is the default scheduling mechanism, where the network informs the UE of the allocated time-frequency resources for transmission of transport blocks via </w:t>
      </w:r>
      <w:r>
        <w:t xml:space="preserve">downlink control information carrying UE specific </w:t>
      </w:r>
      <w:r w:rsidRPr="005546C6">
        <w:t xml:space="preserve">scheduling </w:t>
      </w:r>
      <w:r>
        <w:t xml:space="preserve">information for downlink allocations and uplink </w:t>
      </w:r>
      <w:r w:rsidRPr="005546C6">
        <w:t>grant</w:t>
      </w:r>
      <w:r>
        <w:t>s</w:t>
      </w:r>
      <w:r w:rsidRPr="005546C6">
        <w:t>.</w:t>
      </w:r>
    </w:p>
    <w:p w:rsidR="00DB5E6E" w:rsidRPr="00DB5E6E" w:rsidRDefault="003D2EB2" w:rsidP="004E15D1">
      <w:pPr>
        <w:rPr>
          <w:b/>
        </w:rPr>
      </w:pPr>
      <w:r w:rsidRPr="005546C6">
        <w:t xml:space="preserve">The scheduler shall be able to efficiently allocate radio resources to the users in coherence with their QoS requirements, available data for transmission, radio conditions, etc. This means that the scheduler shall support </w:t>
      </w:r>
      <w:r w:rsidR="002D4A9A">
        <w:t xml:space="preserve">a </w:t>
      </w:r>
      <w:r w:rsidRPr="005546C6">
        <w:t>large dynamic range in allocated radio transmission resources per grant, as well as transport block sizes. As an example, eMBB is known to have large dynamic range of the user plane data payload sizes to be scheduled, ranging from only several tens of bytes (e.g. for application layer control messages; TCP A</w:t>
      </w:r>
      <w:r w:rsidR="002D4A9A">
        <w:t>CK’s</w:t>
      </w:r>
      <w:r w:rsidRPr="005546C6">
        <w:t xml:space="preserve">, so-called “keep alive” message, etc.) to many mega-bytes of data for large data file transmissions. In fact, measurements from today’s LTE network with MBB traffic shows a significant fraction of small to medium size scheduled transport blocks. Similarly, mMTC and URLLC typically require scheduling of payloads from tens of bytes to thousands of bytes, depending on the exact application. </w:t>
      </w:r>
      <w:r w:rsidR="00DB5E6E" w:rsidRPr="005546C6">
        <w:t>Leading to the following:</w:t>
      </w:r>
    </w:p>
    <w:p w:rsidR="003D2EB2" w:rsidRDefault="003D2EB2" w:rsidP="004E15D1">
      <w:r w:rsidRPr="005546C6">
        <w:rPr>
          <w:b/>
        </w:rPr>
        <w:t>Proposal 2:</w:t>
      </w:r>
      <w:r w:rsidRPr="005546C6">
        <w:t xml:space="preserve"> The scheduler functionality shall support scheduling of payloads from few tens of bytes up to very high transport block sizes occupying the full carrier bandwidth using the highest modulation order and minimal error correcting coding.</w:t>
      </w:r>
    </w:p>
    <w:p w:rsidR="00DB5E6E" w:rsidRDefault="00DB5E6E" w:rsidP="004E15D1">
      <w:r>
        <w:t>As known from LTE, the scheduler shall support single-user and multi-user MIMO, i.e. scheduling of multiple transport blocks to the same or different users on the same (or partly overlapping) physical layer radio resources. For such cases with overlapping transmissions on the same time-frequency radio resources, options for assistance to support interference suppression and/or cancellation shall be investigated, leading to the following proposal:</w:t>
      </w:r>
    </w:p>
    <w:p w:rsidR="00DB5E6E" w:rsidRPr="005546C6" w:rsidRDefault="00DB5E6E" w:rsidP="004E15D1">
      <w:r w:rsidRPr="00DB5E6E">
        <w:rPr>
          <w:b/>
        </w:rPr>
        <w:t>Proposal 3</w:t>
      </w:r>
      <w:r>
        <w:t xml:space="preserve">: Support for scheduling of overlapping transmissions on the same physical layer time-frequency resources to the same or different users shall be supported, including potential assistance to facilitate efficient interference suppression and/or cancellation.    </w:t>
      </w:r>
    </w:p>
    <w:p w:rsidR="003D2EB2" w:rsidRPr="005546C6" w:rsidRDefault="003D2EB2" w:rsidP="004E15D1">
      <w:pPr>
        <w:rPr>
          <w:b/>
        </w:rPr>
      </w:pPr>
      <w:r w:rsidRPr="005546C6">
        <w:lastRenderedPageBreak/>
        <w:t>Efficient use of radio of radio resources is obvious</w:t>
      </w:r>
      <w:r w:rsidR="002D4A9A">
        <w:t>ly</w:t>
      </w:r>
      <w:r w:rsidRPr="005546C6">
        <w:t xml:space="preserve"> a priority. This means the network should be able to schedule it</w:t>
      </w:r>
      <w:r w:rsidR="002D4A9A">
        <w:t>s</w:t>
      </w:r>
      <w:r w:rsidRPr="005546C6">
        <w:t xml:space="preserve"> users to efficiently utilize the available radio resources.</w:t>
      </w:r>
      <w:r>
        <w:t xml:space="preserve"> Given Proposal </w:t>
      </w:r>
      <w:r w:rsidRPr="005546C6">
        <w:t>2, this sometimes means scheduling only a single user on the full system bandwidth (given there is sufficient data), to some-times scheduling larger number of users, some of which may require only few transmission resources for sending small to moderate size transport blocks. Hence, the scheduler shall support scheduling of only a single user up to simultaneous scheduling of a potentially large number of users. This essentially calls for flexible design of resources for transmitting scheduling grants, as the required transmission resources for scheduling grants will vary accordingly. In fact, it is a known problem f</w:t>
      </w:r>
      <w:r w:rsidR="002D4A9A">
        <w:t>rom</w:t>
      </w:r>
      <w:r w:rsidRPr="005546C6">
        <w:t xml:space="preserve"> LTE that the system some-times suffers from control channel (PDCCH or E-PDCCH) blocking [2]-[5], preventing efficient use of all radio resources when desirable to scheduler larger number of users. For 5G, we should aim at </w:t>
      </w:r>
      <w:r w:rsidR="002D4A9A">
        <w:t xml:space="preserve">a </w:t>
      </w:r>
      <w:r w:rsidRPr="005546C6">
        <w:t>more flexible scheduling grant design that overcome such problems. The exact value for how many users should be simultaneously schedule per carrier naturally depends on the carrier bandwidth, carrier frequency, and anticipated service composition (detailed value is FFS). In summary, this leads to the following proposal:</w:t>
      </w:r>
    </w:p>
    <w:p w:rsidR="003D2EB2" w:rsidRPr="003D2EB2" w:rsidRDefault="00DB5E6E" w:rsidP="004E15D1">
      <w:r>
        <w:rPr>
          <w:b/>
        </w:rPr>
        <w:t>Proposal 4</w:t>
      </w:r>
      <w:r w:rsidR="003D2EB2" w:rsidRPr="005546C6">
        <w:rPr>
          <w:b/>
        </w:rPr>
        <w:t>:</w:t>
      </w:r>
      <w:r w:rsidR="003D2EB2" w:rsidRPr="005546C6">
        <w:t xml:space="preserve"> The scheduler shall support multiplexing of larger number of users (say N users) per carrier to ensure efficient radio resource usage. This calls for a highly scalable design of radio resources for transmitting scheduling grants to avoid control channel blocking. The exact value of N depends on the carrier bandwidth, carrier frequency, etc. </w:t>
      </w:r>
    </w:p>
    <w:p w:rsidR="003D2EB2" w:rsidRPr="00C61B6C" w:rsidRDefault="00C61B6C" w:rsidP="00C61B6C">
      <w:pPr>
        <w:pStyle w:val="Heading2"/>
      </w:pPr>
      <w:r w:rsidRPr="00C61B6C">
        <w:t xml:space="preserve">2.2 </w:t>
      </w:r>
      <w:r>
        <w:tab/>
      </w:r>
      <w:r w:rsidR="003D2EB2" w:rsidRPr="00C61B6C">
        <w:t xml:space="preserve">Potential of using </w:t>
      </w:r>
      <w:r w:rsidR="001B2F61" w:rsidRPr="00C61B6C">
        <w:t>different</w:t>
      </w:r>
      <w:r w:rsidR="004E15D1">
        <w:t xml:space="preserve"> TTI sizes</w:t>
      </w:r>
    </w:p>
    <w:p w:rsidR="003D2EB2" w:rsidRPr="005546C6" w:rsidRDefault="003D2EB2" w:rsidP="004E15D1">
      <w:r w:rsidRPr="005546C6">
        <w:t>It is well known from the existing literature that there are fundamental tradeoffs between scheduling users to maximize their spectral efficiency, coverage, latency, or reliability [6]-[7]. In theory, this calls for flexible scheduler functionality that allows scheduling each link (user) in coherence with its desired optimization target. One option allowing the former, is to design 5G to support scheduling with different TTI sizes</w:t>
      </w:r>
      <w:r>
        <w:t xml:space="preserve"> [8]</w:t>
      </w:r>
      <w:r w:rsidRPr="005546C6">
        <w:t xml:space="preserve">. Scheduling latency critical data (e.g. URLLC) with a short TTI size obviously a priority. </w:t>
      </w:r>
      <w:r w:rsidRPr="003D2EB2">
        <w:rPr>
          <w:color w:val="000000"/>
        </w:rPr>
        <w:t xml:space="preserve">However, scheduling all users with </w:t>
      </w:r>
      <w:r w:rsidR="002D4A9A">
        <w:rPr>
          <w:color w:val="000000"/>
        </w:rPr>
        <w:t>a very</w:t>
      </w:r>
      <w:r w:rsidRPr="003D2EB2">
        <w:rPr>
          <w:color w:val="000000"/>
        </w:rPr>
        <w:t xml:space="preserve"> short TTI is not optimal. Using long TTIs allows us to benefit from larger coding gains, and it also imposes lower control </w:t>
      </w:r>
      <w:r w:rsidR="002D4A9A">
        <w:rPr>
          <w:color w:val="000000"/>
        </w:rPr>
        <w:t xml:space="preserve">(scheduling grant) </w:t>
      </w:r>
      <w:r w:rsidRPr="003D2EB2">
        <w:rPr>
          <w:color w:val="000000"/>
        </w:rPr>
        <w:t>overhead. This comes, however, at the expense of latency increase; in that respect, the usage of longer TTIs is more beneficial for eMBB and mMTC users for which the required data rate may be high and the latency requirements are less stringent. Setting the TTI size per scheduling grant furthermore offers the possibility to optimize the eMBB services using the Transmission Control Protocol (TCP). During the initial data transmission session, the end-user experienced performance is primarily determined by the RTT due to the</w:t>
      </w:r>
      <w:r w:rsidR="001B2F61">
        <w:rPr>
          <w:color w:val="000000"/>
        </w:rPr>
        <w:t xml:space="preserve"> slow start TCP procedure (</w:t>
      </w:r>
      <w:r w:rsidRPr="003D2EB2">
        <w:rPr>
          <w:color w:val="000000"/>
        </w:rPr>
        <w:t xml:space="preserve">TCP flow control). Therefore, it would be advantageous to first perform scheduling of the eMBB TCP users with short TTIs, followed by longer TTI sizes when reaching steady state operation. On a similar note, it may be desirable to schedule a user with different TTI sizes in the uplink and downlink. As an example, </w:t>
      </w:r>
      <w:r w:rsidR="001B2F61">
        <w:rPr>
          <w:color w:val="000000"/>
        </w:rPr>
        <w:t xml:space="preserve">a </w:t>
      </w:r>
      <w:r w:rsidRPr="003D2EB2">
        <w:rPr>
          <w:color w:val="000000"/>
        </w:rPr>
        <w:t>coverage limit</w:t>
      </w:r>
      <w:r w:rsidR="001B2F61">
        <w:rPr>
          <w:color w:val="000000"/>
        </w:rPr>
        <w:t>ed UE in macro-cellular setting</w:t>
      </w:r>
      <w:r w:rsidRPr="003D2EB2">
        <w:rPr>
          <w:color w:val="000000"/>
        </w:rPr>
        <w:t xml:space="preserve"> may require a TTI size of ~1ms to maintain uplink reception, while a shorter TTI size could be used in the downlink. Hence, the following proposal:</w:t>
      </w:r>
    </w:p>
    <w:p w:rsidR="003D2EB2" w:rsidRPr="00CE3D84" w:rsidRDefault="00DB5E6E" w:rsidP="004E15D1">
      <w:r>
        <w:rPr>
          <w:b/>
        </w:rPr>
        <w:t>Proposal 5</w:t>
      </w:r>
      <w:r w:rsidR="003D2EB2" w:rsidRPr="005546C6">
        <w:rPr>
          <w:b/>
        </w:rPr>
        <w:t>:</w:t>
      </w:r>
      <w:r w:rsidR="003D2EB2" w:rsidRPr="005546C6">
        <w:t xml:space="preserve"> The benefit of be</w:t>
      </w:r>
      <w:r w:rsidR="00EE2708">
        <w:t xml:space="preserve">ing able to schedule users with </w:t>
      </w:r>
      <w:r w:rsidR="003D2EB2" w:rsidRPr="005546C6">
        <w:t>variable TTI sizes shall be further assessed, including options for asymmetric link operation, where a user is scheduled with different TTI sizes in the downlink and uplink (especially relevant for macro-cellular scenarios at lower carrier frequencies).</w:t>
      </w:r>
    </w:p>
    <w:p w:rsidR="003D2EB2" w:rsidRPr="00C61B6C" w:rsidRDefault="00C61B6C" w:rsidP="00C61B6C">
      <w:pPr>
        <w:pStyle w:val="Heading2"/>
      </w:pPr>
      <w:r w:rsidRPr="00C61B6C">
        <w:t xml:space="preserve">2.3 </w:t>
      </w:r>
      <w:r>
        <w:tab/>
      </w:r>
      <w:r w:rsidR="003D2EB2" w:rsidRPr="00C61B6C">
        <w:t>UE sche</w:t>
      </w:r>
      <w:r w:rsidR="004E15D1">
        <w:t>duling grant monitoring</w:t>
      </w:r>
    </w:p>
    <w:p w:rsidR="003D2EB2" w:rsidRPr="005546C6" w:rsidRDefault="003D2EB2" w:rsidP="004E15D1">
      <w:r w:rsidRPr="005546C6">
        <w:t xml:space="preserve">The scheduler framework for 5G shall naturally be designed to have reasonable UE complexity. That means that the search space for reception of scheduling grants shall be controllable, with reasonable UE complexity and </w:t>
      </w:r>
      <w:r w:rsidR="00435330">
        <w:t>energy (battery)</w:t>
      </w:r>
      <w:r w:rsidRPr="005546C6">
        <w:t xml:space="preserve"> consumption. In this context, it is proposed to consider efficient time-frequency domain DRX to avoid that UEs always have to search over the full system bandwidth and/or in all subframes for scheduling grants (see e.g. </w:t>
      </w:r>
      <w:r w:rsidR="001B2F61">
        <w:t xml:space="preserve">the </w:t>
      </w:r>
      <w:r w:rsidRPr="005546C6">
        <w:t>example in [</w:t>
      </w:r>
      <w:r>
        <w:t>8</w:t>
      </w:r>
      <w:r w:rsidRPr="005546C6">
        <w:t xml:space="preserve">]). As an example, it is unnecessary to have </w:t>
      </w:r>
      <w:r>
        <w:t xml:space="preserve">a </w:t>
      </w:r>
      <w:r w:rsidRPr="005546C6">
        <w:t xml:space="preserve">UE with </w:t>
      </w:r>
      <w:r>
        <w:t xml:space="preserve">a </w:t>
      </w:r>
      <w:r w:rsidRPr="005546C6">
        <w:t xml:space="preserve">moderate data rate connection monitor the full carrier bandwidth of e.g. 100Mz; while it would be sufficient to only monitor a fraction of </w:t>
      </w:r>
      <w:r w:rsidR="001B2F61">
        <w:t xml:space="preserve">the </w:t>
      </w:r>
      <w:r w:rsidRPr="005546C6">
        <w:t xml:space="preserve">carrier bandwidth to save power. Similarly, a URLLC UE should monitor for scheduling grants on a fine time resolution to </w:t>
      </w:r>
      <w:r w:rsidR="001B2F61" w:rsidRPr="005546C6">
        <w:t>fulfil</w:t>
      </w:r>
      <w:r w:rsidRPr="005546C6">
        <w:t xml:space="preserve"> the corresponding latency requirements, while a mMTC and eMBB UE could be configured to monitor for scheduling grants on a coarser time-resolution. Finally, low cost mMTC devices may not have the capability </w:t>
      </w:r>
      <w:r>
        <w:t>to</w:t>
      </w:r>
      <w:r w:rsidR="00435330">
        <w:t xml:space="preserve"> monitor large</w:t>
      </w:r>
      <w:r w:rsidRPr="005546C6">
        <w:t xml:space="preserve"> system bandw</w:t>
      </w:r>
      <w:r>
        <w:t>id</w:t>
      </w:r>
      <w:r w:rsidRPr="005546C6">
        <w:t xml:space="preserve">ths, and hence should be able to receive their scheduling grant on a fraction of carrier bandwidth only. These considerations leads to the following proposal: </w:t>
      </w:r>
    </w:p>
    <w:p w:rsidR="003D2EB2" w:rsidRPr="00CE3D84" w:rsidRDefault="003D2EB2" w:rsidP="004E15D1">
      <w:r w:rsidRPr="005546C6">
        <w:rPr>
          <w:b/>
        </w:rPr>
        <w:t xml:space="preserve">Proposal </w:t>
      </w:r>
      <w:r w:rsidR="00EE2708">
        <w:rPr>
          <w:b/>
        </w:rPr>
        <w:t>6</w:t>
      </w:r>
      <w:r w:rsidRPr="005546C6">
        <w:rPr>
          <w:b/>
        </w:rPr>
        <w:t>:</w:t>
      </w:r>
      <w:r w:rsidRPr="005546C6">
        <w:t xml:space="preserve"> The UE effort for searching for scheduling grants (i.e. downlink control channel detection) shall be manageable. Both in terms of number of search options, </w:t>
      </w:r>
      <w:r>
        <w:t>energy</w:t>
      </w:r>
      <w:r w:rsidRPr="005546C6">
        <w:t xml:space="preserve"> consumption, etc. Shall support time-frequency domain DRX functionality to avoid that UEs always have to search over the full system bandwidth and/or in all subframes for scheduling grants.</w:t>
      </w:r>
    </w:p>
    <w:bookmarkEnd w:id="4"/>
    <w:bookmarkEnd w:id="5"/>
    <w:p w:rsidR="005B6509" w:rsidRDefault="003163BD" w:rsidP="005B6509">
      <w:pPr>
        <w:pStyle w:val="Heading1"/>
      </w:pPr>
      <w:r>
        <w:rPr>
          <w:lang w:eastAsia="zh-CN"/>
        </w:rPr>
        <w:lastRenderedPageBreak/>
        <w:t>3</w:t>
      </w:r>
      <w:r w:rsidR="005B6509" w:rsidRPr="00B266B0">
        <w:tab/>
        <w:t>Conclusion</w:t>
      </w:r>
    </w:p>
    <w:p w:rsidR="003D2EB2" w:rsidRDefault="003D2EB2" w:rsidP="004E15D1">
      <w:bookmarkStart w:id="6" w:name="OLE_LINK43"/>
      <w:bookmarkStart w:id="7" w:name="OLE_LINK44"/>
      <w:bookmarkStart w:id="8" w:name="OLE_LINK34"/>
      <w:bookmarkStart w:id="9" w:name="OLE_LINK35"/>
      <w:r>
        <w:t xml:space="preserve">The contribution is concluded by summarizing our initial proposals for 5G scheduler design as listed below. It is recommended that these proposals are taken as working assumptions when moving forward with the 5G scheduler design. </w:t>
      </w:r>
    </w:p>
    <w:p w:rsidR="003D2EB2" w:rsidRPr="005546C6" w:rsidRDefault="00CD40C4" w:rsidP="004E15D1">
      <w:r w:rsidRPr="005546C6">
        <w:rPr>
          <w:b/>
        </w:rPr>
        <w:t>Proposal 1:</w:t>
      </w:r>
      <w:r w:rsidRPr="005546C6">
        <w:t xml:space="preserve"> Network controlled dynamic scheduling is the default scheduling mechanism, where the network informs the UE of the allocated time-frequency resources for transmission of transport blocks via </w:t>
      </w:r>
      <w:r>
        <w:t xml:space="preserve">downlink control information carrying UE specific </w:t>
      </w:r>
      <w:r w:rsidRPr="005546C6">
        <w:t xml:space="preserve">scheduling </w:t>
      </w:r>
      <w:r>
        <w:t xml:space="preserve">information for downlink allocations and uplink </w:t>
      </w:r>
      <w:r w:rsidRPr="005546C6">
        <w:t>grant</w:t>
      </w:r>
      <w:r>
        <w:t>s</w:t>
      </w:r>
      <w:r w:rsidRPr="005546C6">
        <w:t>.</w:t>
      </w:r>
    </w:p>
    <w:p w:rsidR="003D2EB2" w:rsidRDefault="003D2EB2" w:rsidP="004E15D1">
      <w:r w:rsidRPr="005546C6">
        <w:rPr>
          <w:b/>
        </w:rPr>
        <w:t>Proposal 2:</w:t>
      </w:r>
      <w:r w:rsidRPr="005546C6">
        <w:t xml:space="preserve"> The scheduler functionality shall support scheduling of payloads from few tens of bytes up to very high transport block sizes occupying the full carrier bandwidth using the highest modulation order and minimal error correcting coding.</w:t>
      </w:r>
    </w:p>
    <w:p w:rsidR="00DB5E6E" w:rsidRPr="005546C6" w:rsidRDefault="00DB5E6E" w:rsidP="003D2EB2">
      <w:pPr>
        <w:jc w:val="both"/>
      </w:pPr>
      <w:r w:rsidRPr="00DB5E6E">
        <w:rPr>
          <w:b/>
        </w:rPr>
        <w:t>Proposal 3</w:t>
      </w:r>
      <w:r>
        <w:t xml:space="preserve">: Support for scheduling of overlapping transmissions on the same physical layer time-frequency resources to the same or different users shall be supported, including potential assistance to facilitate efficient interference suppression and/or cancellation.    </w:t>
      </w:r>
    </w:p>
    <w:p w:rsidR="003D2EB2" w:rsidRPr="005546C6" w:rsidRDefault="003D2EB2" w:rsidP="004E15D1">
      <w:r w:rsidRPr="005546C6">
        <w:rPr>
          <w:b/>
        </w:rPr>
        <w:t xml:space="preserve">Proposal </w:t>
      </w:r>
      <w:r w:rsidR="00DB5E6E">
        <w:rPr>
          <w:b/>
        </w:rPr>
        <w:t>4</w:t>
      </w:r>
      <w:r w:rsidRPr="005546C6">
        <w:rPr>
          <w:b/>
        </w:rPr>
        <w:t>:</w:t>
      </w:r>
      <w:r w:rsidRPr="005546C6">
        <w:t xml:space="preserve"> The scheduler shall support multiplexing of larger number of users (say N users) per carrier to ensure efficient radio resource usage. This calls for a highly scalable design of radio resources for transmitting scheduling grants to avoid control channel blocking. The exact value of N depends on the carrier bandwidth, carrier frequency, etc.</w:t>
      </w:r>
    </w:p>
    <w:p w:rsidR="003D2EB2" w:rsidRPr="005546C6" w:rsidRDefault="00DB5E6E" w:rsidP="004E15D1">
      <w:r>
        <w:rPr>
          <w:b/>
        </w:rPr>
        <w:t>Proposal 5</w:t>
      </w:r>
      <w:r w:rsidR="003D2EB2" w:rsidRPr="005546C6">
        <w:rPr>
          <w:b/>
        </w:rPr>
        <w:t>:</w:t>
      </w:r>
      <w:r w:rsidR="003D2EB2" w:rsidRPr="005546C6">
        <w:t xml:space="preserve"> The benefit of bei</w:t>
      </w:r>
      <w:r w:rsidR="00EE2708">
        <w:t xml:space="preserve">ng able to schedule users with </w:t>
      </w:r>
      <w:r w:rsidR="003D2EB2" w:rsidRPr="005546C6">
        <w:t>variable TTI sizes shall be further assessed, including options for asymmetric link operation, where a user is scheduled with different TTI sizes in the downlink and uplink (especially relevant for macro-cellular scenarios at lower carrier frequencies).</w:t>
      </w:r>
    </w:p>
    <w:p w:rsidR="003512FC" w:rsidRPr="000C4DC4" w:rsidRDefault="00DB5E6E" w:rsidP="004E15D1">
      <w:r>
        <w:rPr>
          <w:b/>
        </w:rPr>
        <w:t>Proposal 6</w:t>
      </w:r>
      <w:r w:rsidR="003D2EB2" w:rsidRPr="005546C6">
        <w:rPr>
          <w:b/>
        </w:rPr>
        <w:t>:</w:t>
      </w:r>
      <w:r w:rsidR="003D2EB2" w:rsidRPr="005546C6">
        <w:t xml:space="preserve"> The UE effort for searching for scheduling grants (i.e. downlink control channel detection) shall be manageable. Both in te</w:t>
      </w:r>
      <w:r w:rsidR="003D2EB2">
        <w:t>rms of number of search options and</w:t>
      </w:r>
      <w:r w:rsidR="003D2EB2" w:rsidRPr="005546C6">
        <w:t xml:space="preserve"> </w:t>
      </w:r>
      <w:r w:rsidR="003D2EB2">
        <w:t>energy</w:t>
      </w:r>
      <w:r w:rsidR="003D2EB2" w:rsidRPr="005546C6">
        <w:t xml:space="preserve"> consumption. Shall support time-frequency domain DRX functionality to avoid that UEs always have to search the full system bandwidth and/or subframes for scheduling grants.</w:t>
      </w:r>
    </w:p>
    <w:bookmarkEnd w:id="6"/>
    <w:bookmarkEnd w:id="7"/>
    <w:bookmarkEnd w:id="8"/>
    <w:bookmarkEnd w:id="9"/>
    <w:p w:rsidR="0034111C" w:rsidRDefault="00244DDE">
      <w:pPr>
        <w:pStyle w:val="Heading1"/>
      </w:pPr>
      <w:r>
        <w:t>Reference</w:t>
      </w:r>
      <w:r w:rsidR="00C74924">
        <w:t>s</w:t>
      </w:r>
    </w:p>
    <w:p w:rsidR="003D2EB2" w:rsidRDefault="003D2EB2" w:rsidP="003D2EB2">
      <w:pPr>
        <w:pStyle w:val="references"/>
        <w:numPr>
          <w:ilvl w:val="0"/>
          <w:numId w:val="0"/>
        </w:numPr>
        <w:autoSpaceDE w:val="0"/>
        <w:autoSpaceDN w:val="0"/>
        <w:adjustRightInd w:val="0"/>
        <w:ind w:left="360" w:hanging="360"/>
        <w:rPr>
          <w:sz w:val="20"/>
          <w:szCs w:val="22"/>
        </w:rPr>
      </w:pPr>
      <w:bookmarkStart w:id="10" w:name="_Ref377468317"/>
      <w:r>
        <w:rPr>
          <w:sz w:val="20"/>
          <w:szCs w:val="22"/>
          <w:lang w:val="en-GB"/>
        </w:rPr>
        <w:t xml:space="preserve">[1] </w:t>
      </w:r>
      <w:r w:rsidRPr="005546C6">
        <w:rPr>
          <w:sz w:val="20"/>
          <w:szCs w:val="22"/>
        </w:rPr>
        <w:t>3GPP Technical Report 38.913, “</w:t>
      </w:r>
      <w:r w:rsidRPr="005546C6">
        <w:rPr>
          <w:sz w:val="20"/>
          <w:szCs w:val="22"/>
          <w:lang w:eastAsia="zh-CN"/>
        </w:rPr>
        <w:t>Study on Scenarios and Requirements for Next Generation Access Technologies</w:t>
      </w:r>
      <w:r w:rsidRPr="005546C6">
        <w:rPr>
          <w:sz w:val="20"/>
          <w:szCs w:val="22"/>
        </w:rPr>
        <w:t>”, March 2016.</w:t>
      </w:r>
    </w:p>
    <w:p w:rsidR="003D2EB2" w:rsidRPr="005546C6" w:rsidRDefault="003D2EB2" w:rsidP="003D2EB2">
      <w:pPr>
        <w:pStyle w:val="references"/>
        <w:numPr>
          <w:ilvl w:val="0"/>
          <w:numId w:val="0"/>
        </w:numPr>
        <w:autoSpaceDE w:val="0"/>
        <w:autoSpaceDN w:val="0"/>
        <w:adjustRightInd w:val="0"/>
        <w:ind w:left="360" w:hanging="360"/>
        <w:rPr>
          <w:sz w:val="20"/>
          <w:szCs w:val="22"/>
        </w:rPr>
      </w:pPr>
      <w:r>
        <w:rPr>
          <w:sz w:val="20"/>
          <w:szCs w:val="22"/>
        </w:rPr>
        <w:t xml:space="preserve">[2] </w:t>
      </w:r>
      <w:r w:rsidRPr="005546C6">
        <w:rPr>
          <w:sz w:val="20"/>
          <w:szCs w:val="22"/>
          <w:lang w:eastAsia="ja-JP"/>
        </w:rPr>
        <w:t>D. Villa, et.al., “Performance of Downlink UTRAN LTE Under Control Channel Constraints”, in IEEE Proc. Vehicular Technology Conference (VTC-spring), May 2008</w:t>
      </w:r>
    </w:p>
    <w:p w:rsidR="003D2EB2" w:rsidRPr="005546C6" w:rsidRDefault="003D2EB2" w:rsidP="003D2EB2">
      <w:pPr>
        <w:pStyle w:val="references"/>
        <w:numPr>
          <w:ilvl w:val="0"/>
          <w:numId w:val="0"/>
        </w:numPr>
        <w:autoSpaceDE w:val="0"/>
        <w:autoSpaceDN w:val="0"/>
        <w:adjustRightInd w:val="0"/>
        <w:spacing w:after="58" w:line="231" w:lineRule="auto"/>
        <w:ind w:left="360" w:hanging="360"/>
        <w:rPr>
          <w:sz w:val="20"/>
          <w:szCs w:val="22"/>
        </w:rPr>
      </w:pPr>
      <w:r>
        <w:rPr>
          <w:sz w:val="20"/>
          <w:szCs w:val="22"/>
          <w:lang w:eastAsia="zh-CN"/>
        </w:rPr>
        <w:t xml:space="preserve">[3] </w:t>
      </w:r>
      <w:r w:rsidRPr="005546C6">
        <w:rPr>
          <w:sz w:val="20"/>
          <w:szCs w:val="22"/>
          <w:lang w:eastAsia="zh-CN"/>
        </w:rPr>
        <w:t>F. Capozzi, et. al., “UTRAN LTE Downlink System Performance under Realistic Control Channel Performance”, IEEE Proc. Vehicular Technology Conference (VTC-Fall), September 2009.</w:t>
      </w:r>
    </w:p>
    <w:p w:rsidR="003D2EB2" w:rsidRPr="005546C6" w:rsidRDefault="003D2EB2" w:rsidP="003D2EB2">
      <w:pPr>
        <w:pStyle w:val="references"/>
        <w:numPr>
          <w:ilvl w:val="0"/>
          <w:numId w:val="0"/>
        </w:numPr>
        <w:spacing w:after="58" w:line="231" w:lineRule="auto"/>
        <w:ind w:left="360" w:hanging="360"/>
        <w:rPr>
          <w:sz w:val="20"/>
          <w:szCs w:val="22"/>
        </w:rPr>
      </w:pPr>
      <w:r>
        <w:rPr>
          <w:sz w:val="20"/>
          <w:szCs w:val="22"/>
        </w:rPr>
        <w:t xml:space="preserve">[4] </w:t>
      </w:r>
      <w:r w:rsidRPr="005546C6">
        <w:rPr>
          <w:sz w:val="20"/>
          <w:szCs w:val="22"/>
        </w:rPr>
        <w:t xml:space="preserve">D. Laselva, et.al., “On the impact of realistic control channel constraints on QoS provisioning in UTRAN LTE”, in IEEE Proc. VTC 2009 fall, September 2009. </w:t>
      </w:r>
    </w:p>
    <w:p w:rsidR="003D2EB2" w:rsidRPr="005546C6" w:rsidRDefault="003D2EB2" w:rsidP="003D2EB2">
      <w:pPr>
        <w:pStyle w:val="references"/>
        <w:numPr>
          <w:ilvl w:val="0"/>
          <w:numId w:val="0"/>
        </w:numPr>
        <w:autoSpaceDE w:val="0"/>
        <w:autoSpaceDN w:val="0"/>
        <w:adjustRightInd w:val="0"/>
        <w:ind w:left="360" w:hanging="360"/>
        <w:rPr>
          <w:sz w:val="20"/>
          <w:szCs w:val="22"/>
        </w:rPr>
      </w:pPr>
      <w:r>
        <w:rPr>
          <w:sz w:val="20"/>
          <w:szCs w:val="22"/>
        </w:rPr>
        <w:t xml:space="preserve">[5] </w:t>
      </w:r>
      <w:r w:rsidRPr="005546C6">
        <w:rPr>
          <w:sz w:val="20"/>
          <w:szCs w:val="22"/>
        </w:rPr>
        <w:t>A.K. Talukdar, “Performance evaulation of the Enhanced Physical Downlink Control Channel in a LTE network”, in IEEE Proc. PIMRC, pp. 987-991, September 2013.</w:t>
      </w:r>
    </w:p>
    <w:p w:rsidR="003D2EB2" w:rsidRPr="005546C6" w:rsidRDefault="003D2EB2" w:rsidP="003D2EB2">
      <w:pPr>
        <w:pStyle w:val="references"/>
        <w:numPr>
          <w:ilvl w:val="0"/>
          <w:numId w:val="0"/>
        </w:numPr>
        <w:autoSpaceDE w:val="0"/>
        <w:autoSpaceDN w:val="0"/>
        <w:adjustRightInd w:val="0"/>
        <w:ind w:left="360" w:hanging="360"/>
        <w:rPr>
          <w:sz w:val="20"/>
          <w:szCs w:val="22"/>
        </w:rPr>
      </w:pPr>
      <w:r>
        <w:rPr>
          <w:sz w:val="20"/>
          <w:szCs w:val="22"/>
          <w:lang w:eastAsia="zh-CN"/>
        </w:rPr>
        <w:t xml:space="preserve">[6] </w:t>
      </w:r>
      <w:r w:rsidRPr="005546C6">
        <w:rPr>
          <w:sz w:val="20"/>
          <w:szCs w:val="22"/>
          <w:lang w:eastAsia="zh-CN"/>
        </w:rPr>
        <w:t>B. Soret, et.al., ”Fundamental Tradeoffs among Reliability, Latency and Throughput in Cellular Networks”, IEEE Proc. GLOBECOM, December 2014.</w:t>
      </w:r>
    </w:p>
    <w:p w:rsidR="003D2EB2" w:rsidRPr="005546C6" w:rsidRDefault="003D2EB2" w:rsidP="003D2EB2">
      <w:pPr>
        <w:pStyle w:val="references"/>
        <w:numPr>
          <w:ilvl w:val="0"/>
          <w:numId w:val="0"/>
        </w:numPr>
        <w:autoSpaceDE w:val="0"/>
        <w:autoSpaceDN w:val="0"/>
        <w:adjustRightInd w:val="0"/>
        <w:ind w:left="360" w:hanging="360"/>
        <w:rPr>
          <w:sz w:val="20"/>
          <w:szCs w:val="22"/>
        </w:rPr>
      </w:pPr>
      <w:r>
        <w:rPr>
          <w:sz w:val="20"/>
          <w:szCs w:val="22"/>
          <w:lang w:eastAsia="zh-CN"/>
        </w:rPr>
        <w:t xml:space="preserve">[7] </w:t>
      </w:r>
      <w:r w:rsidRPr="005546C6">
        <w:rPr>
          <w:sz w:val="20"/>
          <w:szCs w:val="22"/>
          <w:lang w:eastAsia="zh-CN"/>
        </w:rPr>
        <w:t>D. Wu and R. Negi, “Effective capacity: A wireless link model for support of quality of service,” IEEE Transactions on Wireless Communications, vol., 2, no. 4, pp. 630-643, July 2003.</w:t>
      </w:r>
    </w:p>
    <w:p w:rsidR="00F505D7" w:rsidRDefault="00E176EA" w:rsidP="00E176EA">
      <w:pPr>
        <w:spacing w:after="120"/>
        <w:jc w:val="both"/>
      </w:pPr>
      <w:r>
        <w:rPr>
          <w:szCs w:val="22"/>
          <w:lang w:eastAsia="ja-JP"/>
        </w:rPr>
        <w:t xml:space="preserve">[8] </w:t>
      </w:r>
      <w:r w:rsidR="003D2EB2" w:rsidRPr="005546C6">
        <w:rPr>
          <w:szCs w:val="22"/>
          <w:lang w:eastAsia="ja-JP"/>
        </w:rPr>
        <w:t>K.I. Pedersen, G. Berardinelli, F. Frederiksen, A. Szufarska, ”</w:t>
      </w:r>
      <w:r w:rsidR="003D2EB2" w:rsidRPr="005546C6">
        <w:rPr>
          <w:szCs w:val="22"/>
        </w:rPr>
        <w:t>A Flexible 5G Frame Structure Design for Frequency-</w:t>
      </w:r>
      <w:r>
        <w:rPr>
          <w:szCs w:val="22"/>
        </w:rPr>
        <w:br/>
        <w:t xml:space="preserve">    </w:t>
      </w:r>
      <w:r w:rsidR="003D2EB2" w:rsidRPr="005546C6">
        <w:rPr>
          <w:szCs w:val="22"/>
        </w:rPr>
        <w:t>Division Duplex Cases</w:t>
      </w:r>
      <w:r w:rsidR="003D2EB2" w:rsidRPr="005546C6">
        <w:rPr>
          <w:szCs w:val="22"/>
          <w:lang w:eastAsia="ja-JP"/>
        </w:rPr>
        <w:t xml:space="preserve">”, in IEEE Communications Magazine, </w:t>
      </w:r>
      <w:r w:rsidR="003D2EB2">
        <w:rPr>
          <w:szCs w:val="22"/>
          <w:lang w:eastAsia="ja-JP"/>
        </w:rPr>
        <w:t xml:space="preserve">pp. 53-59, </w:t>
      </w:r>
      <w:r w:rsidR="003D2EB2" w:rsidRPr="005546C6">
        <w:rPr>
          <w:szCs w:val="22"/>
          <w:lang w:eastAsia="ja-JP"/>
        </w:rPr>
        <w:t>March 2016</w:t>
      </w:r>
    </w:p>
    <w:bookmarkEnd w:id="10"/>
    <w:p w:rsidR="004B529D" w:rsidRPr="00FB2492" w:rsidRDefault="004B529D" w:rsidP="009F58B4">
      <w:pPr>
        <w:spacing w:after="120"/>
        <w:jc w:val="both"/>
      </w:pPr>
    </w:p>
    <w:sectPr w:rsidR="004B529D" w:rsidRPr="00FB249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C64" w:rsidRDefault="00A02C64">
      <w:r>
        <w:separator/>
      </w:r>
    </w:p>
  </w:endnote>
  <w:endnote w:type="continuationSeparator" w:id="0">
    <w:p w:rsidR="00A02C64" w:rsidRDefault="00A0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C64" w:rsidRDefault="00A02C64">
      <w:r>
        <w:separator/>
      </w:r>
    </w:p>
  </w:footnote>
  <w:footnote w:type="continuationSeparator" w:id="0">
    <w:p w:rsidR="00A02C64" w:rsidRDefault="00A02C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3D4E4B"/>
    <w:multiLevelType w:val="hybridMultilevel"/>
    <w:tmpl w:val="9D9E4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
  </w:num>
  <w:num w:numId="3">
    <w:abstractNumId w:val="4"/>
  </w:num>
  <w:num w:numId="4">
    <w:abstractNumId w:val="7"/>
  </w:num>
  <w:num w:numId="5">
    <w:abstractNumId w:val="8"/>
  </w:num>
  <w:num w:numId="6">
    <w:abstractNumId w:val="6"/>
  </w:num>
  <w:num w:numId="7">
    <w:abstractNumId w:val="1"/>
  </w:num>
  <w:num w:numId="8">
    <w:abstractNumId w:val="3"/>
  </w:num>
  <w:num w:numId="9">
    <w:abstractNumId w:val="5"/>
  </w:num>
  <w:num w:numId="10">
    <w:abstractNumId w:val="5"/>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removePersonalInformation/>
  <w:removeDateAndTime/>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en-IN"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C83"/>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12C1"/>
    <w:rsid w:val="001616EE"/>
    <w:rsid w:val="00161D23"/>
    <w:rsid w:val="0016398E"/>
    <w:rsid w:val="00163BD0"/>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1F783F"/>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904"/>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11B9"/>
    <w:rsid w:val="002F143E"/>
    <w:rsid w:val="002F144D"/>
    <w:rsid w:val="002F18A9"/>
    <w:rsid w:val="002F1E06"/>
    <w:rsid w:val="002F3CD5"/>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2FC"/>
    <w:rsid w:val="00351B52"/>
    <w:rsid w:val="00351E40"/>
    <w:rsid w:val="00352D21"/>
    <w:rsid w:val="003532D4"/>
    <w:rsid w:val="003536FE"/>
    <w:rsid w:val="00353A08"/>
    <w:rsid w:val="0035592D"/>
    <w:rsid w:val="0035756B"/>
    <w:rsid w:val="00357B29"/>
    <w:rsid w:val="00357B9C"/>
    <w:rsid w:val="00360E66"/>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FD5"/>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5D1"/>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5D3"/>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195D"/>
    <w:rsid w:val="0062202B"/>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120A"/>
    <w:rsid w:val="007A14FB"/>
    <w:rsid w:val="007A1FAB"/>
    <w:rsid w:val="007A278A"/>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0F94"/>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D0543"/>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574"/>
    <w:rsid w:val="009B08B6"/>
    <w:rsid w:val="009B17E6"/>
    <w:rsid w:val="009B2051"/>
    <w:rsid w:val="009B2AE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C64"/>
    <w:rsid w:val="00A02FCE"/>
    <w:rsid w:val="00A04123"/>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D2F"/>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410"/>
    <w:rsid w:val="00C20531"/>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1B6C"/>
    <w:rsid w:val="00C6225A"/>
    <w:rsid w:val="00C63B22"/>
    <w:rsid w:val="00C649D5"/>
    <w:rsid w:val="00C657AE"/>
    <w:rsid w:val="00C65BD3"/>
    <w:rsid w:val="00C66225"/>
    <w:rsid w:val="00C66542"/>
    <w:rsid w:val="00C6716C"/>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0C4"/>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C8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A47"/>
    <w:rsid w:val="00DB3D92"/>
    <w:rsid w:val="00DB449C"/>
    <w:rsid w:val="00DB47E8"/>
    <w:rsid w:val="00DB4B88"/>
    <w:rsid w:val="00DB5E6E"/>
    <w:rsid w:val="00DB5ECC"/>
    <w:rsid w:val="00DB6210"/>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2708"/>
    <w:rsid w:val="00EE413F"/>
    <w:rsid w:val="00EE4732"/>
    <w:rsid w:val="00EE640B"/>
    <w:rsid w:val="00EE675E"/>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801"/>
    <w:rsid w:val="00F22353"/>
    <w:rsid w:val="00F23E98"/>
    <w:rsid w:val="00F24293"/>
    <w:rsid w:val="00F24E08"/>
    <w:rsid w:val="00F274EE"/>
    <w:rsid w:val="00F27AF8"/>
    <w:rsid w:val="00F27B45"/>
    <w:rsid w:val="00F27DFB"/>
    <w:rsid w:val="00F306D6"/>
    <w:rsid w:val="00F3182D"/>
    <w:rsid w:val="00F320B0"/>
    <w:rsid w:val="00F326B2"/>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B2C"/>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2708"/>
    <w:pPr>
      <w:spacing w:after="180"/>
    </w:pPr>
    <w:rPr>
      <w:rFonts w:ascii="Times New Roman" w:eastAsia="Times New Roman" w:hAnsi="Times New Roman"/>
      <w:lang w:eastAsia="en-US"/>
    </w:rPr>
  </w:style>
  <w:style w:type="paragraph" w:styleId="Heading1">
    <w:name w:val="heading 1"/>
    <w:aliases w:val="H1,h1,Heading 1 3GPP"/>
    <w:next w:val="Normal"/>
    <w:link w:val="Heading1Char"/>
    <w:qFormat/>
    <w:rsid w:val="00EE2708"/>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link w:val="Heading2Char"/>
    <w:qFormat/>
    <w:rsid w:val="00EE2708"/>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EE2708"/>
    <w:pPr>
      <w:spacing w:before="120"/>
      <w:outlineLvl w:val="2"/>
    </w:pPr>
    <w:rPr>
      <w:sz w:val="28"/>
    </w:rPr>
  </w:style>
  <w:style w:type="paragraph" w:styleId="Heading4">
    <w:name w:val="heading 4"/>
    <w:basedOn w:val="Heading3"/>
    <w:next w:val="Normal"/>
    <w:link w:val="Heading4Char"/>
    <w:qFormat/>
    <w:rsid w:val="00EE2708"/>
    <w:pPr>
      <w:ind w:left="1418" w:hanging="1418"/>
      <w:outlineLvl w:val="3"/>
    </w:pPr>
    <w:rPr>
      <w:sz w:val="24"/>
    </w:rPr>
  </w:style>
  <w:style w:type="paragraph" w:styleId="Heading5">
    <w:name w:val="heading 5"/>
    <w:basedOn w:val="Heading4"/>
    <w:next w:val="Normal"/>
    <w:link w:val="Heading5Char"/>
    <w:qFormat/>
    <w:rsid w:val="00EE2708"/>
    <w:pPr>
      <w:ind w:left="1701" w:hanging="1701"/>
      <w:outlineLvl w:val="4"/>
    </w:pPr>
    <w:rPr>
      <w:sz w:val="22"/>
    </w:rPr>
  </w:style>
  <w:style w:type="paragraph" w:styleId="Heading6">
    <w:name w:val="heading 6"/>
    <w:basedOn w:val="H6"/>
    <w:next w:val="Normal"/>
    <w:link w:val="Heading6Char"/>
    <w:qFormat/>
    <w:rsid w:val="00EE2708"/>
    <w:pPr>
      <w:outlineLvl w:val="5"/>
    </w:pPr>
  </w:style>
  <w:style w:type="paragraph" w:styleId="Heading7">
    <w:name w:val="heading 7"/>
    <w:basedOn w:val="H6"/>
    <w:next w:val="Normal"/>
    <w:link w:val="Heading7Char"/>
    <w:qFormat/>
    <w:rsid w:val="00EE2708"/>
    <w:pPr>
      <w:outlineLvl w:val="6"/>
    </w:pPr>
  </w:style>
  <w:style w:type="paragraph" w:styleId="Heading8">
    <w:name w:val="heading 8"/>
    <w:basedOn w:val="Heading1"/>
    <w:next w:val="Normal"/>
    <w:link w:val="Heading8Char"/>
    <w:qFormat/>
    <w:rsid w:val="00EE2708"/>
    <w:pPr>
      <w:ind w:left="0" w:firstLine="0"/>
      <w:outlineLvl w:val="7"/>
    </w:pPr>
  </w:style>
  <w:style w:type="paragraph" w:styleId="Heading9">
    <w:name w:val="heading 9"/>
    <w:basedOn w:val="Heading8"/>
    <w:next w:val="Normal"/>
    <w:link w:val="Heading9Char"/>
    <w:qFormat/>
    <w:rsid w:val="00EE2708"/>
    <w:pPr>
      <w:outlineLvl w:val="8"/>
    </w:pPr>
  </w:style>
  <w:style w:type="character" w:default="1" w:styleId="DefaultParagraphFont">
    <w:name w:val="Default Paragraph Font"/>
    <w:uiPriority w:val="1"/>
    <w:semiHidden/>
    <w:unhideWhenUsed/>
    <w:rsid w:val="00EE27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2708"/>
  </w:style>
  <w:style w:type="paragraph" w:customStyle="1" w:styleId="H6">
    <w:name w:val="H6"/>
    <w:basedOn w:val="Heading5"/>
    <w:next w:val="Normal"/>
    <w:rsid w:val="00EE2708"/>
    <w:pPr>
      <w:ind w:left="1985" w:hanging="1985"/>
      <w:outlineLvl w:val="9"/>
    </w:pPr>
    <w:rPr>
      <w:sz w:val="20"/>
    </w:rPr>
  </w:style>
  <w:style w:type="paragraph" w:styleId="TOC8">
    <w:name w:val="toc 8"/>
    <w:basedOn w:val="TOC1"/>
    <w:semiHidden/>
    <w:rsid w:val="00EE2708"/>
    <w:pPr>
      <w:spacing w:before="180"/>
      <w:ind w:left="2693" w:hanging="2693"/>
    </w:pPr>
    <w:rPr>
      <w:b/>
    </w:rPr>
  </w:style>
  <w:style w:type="paragraph" w:styleId="TOC1">
    <w:name w:val="toc 1"/>
    <w:semiHidden/>
    <w:rsid w:val="00EE2708"/>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EE2708"/>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EE2708"/>
    <w:pPr>
      <w:ind w:left="1701" w:hanging="1701"/>
    </w:pPr>
  </w:style>
  <w:style w:type="paragraph" w:styleId="TOC4">
    <w:name w:val="toc 4"/>
    <w:basedOn w:val="TOC3"/>
    <w:semiHidden/>
    <w:rsid w:val="00EE2708"/>
    <w:pPr>
      <w:ind w:left="1418" w:hanging="1418"/>
    </w:pPr>
  </w:style>
  <w:style w:type="paragraph" w:styleId="TOC3">
    <w:name w:val="toc 3"/>
    <w:basedOn w:val="TOC2"/>
    <w:semiHidden/>
    <w:rsid w:val="00EE2708"/>
    <w:pPr>
      <w:ind w:left="1134" w:hanging="1134"/>
    </w:pPr>
  </w:style>
  <w:style w:type="paragraph" w:styleId="TOC2">
    <w:name w:val="toc 2"/>
    <w:basedOn w:val="TOC1"/>
    <w:semiHidden/>
    <w:rsid w:val="00EE2708"/>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EE2708"/>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EE2708"/>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EE2708"/>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EE2708"/>
    <w:rPr>
      <w:b/>
    </w:rPr>
  </w:style>
  <w:style w:type="paragraph" w:customStyle="1" w:styleId="TAC">
    <w:name w:val="TAC"/>
    <w:basedOn w:val="TAL"/>
    <w:rsid w:val="00EE2708"/>
    <w:pPr>
      <w:jc w:val="center"/>
    </w:pPr>
  </w:style>
  <w:style w:type="paragraph" w:customStyle="1" w:styleId="TAL">
    <w:name w:val="TAL"/>
    <w:basedOn w:val="Normal"/>
    <w:link w:val="TALChar"/>
    <w:rsid w:val="00EE2708"/>
    <w:pPr>
      <w:keepNext/>
      <w:keepLines/>
      <w:spacing w:after="0"/>
    </w:pPr>
    <w:rPr>
      <w:rFonts w:ascii="Arial" w:hAnsi="Arial"/>
      <w:sz w:val="18"/>
    </w:rPr>
  </w:style>
  <w:style w:type="paragraph" w:customStyle="1" w:styleId="TF">
    <w:name w:val="TF"/>
    <w:basedOn w:val="TH"/>
    <w:rsid w:val="00EE2708"/>
    <w:pPr>
      <w:keepNext w:val="0"/>
      <w:spacing w:before="0" w:after="240"/>
    </w:pPr>
  </w:style>
  <w:style w:type="paragraph" w:customStyle="1" w:styleId="TH">
    <w:name w:val="TH"/>
    <w:basedOn w:val="Normal"/>
    <w:rsid w:val="00EE2708"/>
    <w:pPr>
      <w:keepNext/>
      <w:keepLines/>
      <w:spacing w:before="60"/>
      <w:jc w:val="center"/>
    </w:pPr>
    <w:rPr>
      <w:rFonts w:ascii="Arial" w:hAnsi="Arial"/>
      <w:b/>
    </w:rPr>
  </w:style>
  <w:style w:type="paragraph" w:customStyle="1" w:styleId="NO">
    <w:name w:val="NO"/>
    <w:basedOn w:val="Normal"/>
    <w:rsid w:val="00EE2708"/>
    <w:pPr>
      <w:keepLines/>
      <w:ind w:left="1135" w:hanging="851"/>
    </w:pPr>
  </w:style>
  <w:style w:type="paragraph" w:styleId="TOC9">
    <w:name w:val="toc 9"/>
    <w:basedOn w:val="TOC8"/>
    <w:semiHidden/>
    <w:rsid w:val="00EE2708"/>
    <w:pPr>
      <w:ind w:left="1418" w:hanging="1418"/>
    </w:pPr>
  </w:style>
  <w:style w:type="paragraph" w:customStyle="1" w:styleId="EX">
    <w:name w:val="EX"/>
    <w:basedOn w:val="Normal"/>
    <w:rsid w:val="00EE2708"/>
    <w:pPr>
      <w:keepLines/>
      <w:ind w:left="1702" w:hanging="1418"/>
    </w:pPr>
  </w:style>
  <w:style w:type="paragraph" w:customStyle="1" w:styleId="FP">
    <w:name w:val="FP"/>
    <w:basedOn w:val="Normal"/>
    <w:rsid w:val="00EE2708"/>
    <w:pPr>
      <w:spacing w:after="0"/>
    </w:pPr>
  </w:style>
  <w:style w:type="paragraph" w:customStyle="1" w:styleId="LD">
    <w:name w:val="LD"/>
    <w:rsid w:val="00EE2708"/>
    <w:pPr>
      <w:keepNext/>
      <w:keepLines/>
      <w:spacing w:line="180" w:lineRule="exact"/>
    </w:pPr>
    <w:rPr>
      <w:rFonts w:ascii="Courier New" w:eastAsia="Times New Roman" w:hAnsi="Courier New"/>
      <w:noProof/>
      <w:lang w:eastAsia="en-US"/>
    </w:rPr>
  </w:style>
  <w:style w:type="paragraph" w:customStyle="1" w:styleId="NW">
    <w:name w:val="NW"/>
    <w:basedOn w:val="NO"/>
    <w:rsid w:val="00EE2708"/>
    <w:pPr>
      <w:spacing w:after="0"/>
    </w:pPr>
  </w:style>
  <w:style w:type="paragraph" w:customStyle="1" w:styleId="EW">
    <w:name w:val="EW"/>
    <w:basedOn w:val="EX"/>
    <w:rsid w:val="00EE2708"/>
    <w:pPr>
      <w:spacing w:after="0"/>
    </w:pPr>
  </w:style>
  <w:style w:type="paragraph" w:styleId="TOC6">
    <w:name w:val="toc 6"/>
    <w:basedOn w:val="TOC5"/>
    <w:next w:val="Normal"/>
    <w:semiHidden/>
    <w:rsid w:val="00EE2708"/>
    <w:pPr>
      <w:ind w:left="1985" w:hanging="1985"/>
    </w:pPr>
  </w:style>
  <w:style w:type="paragraph" w:styleId="TOC7">
    <w:name w:val="toc 7"/>
    <w:basedOn w:val="TOC6"/>
    <w:next w:val="Normal"/>
    <w:semiHidden/>
    <w:rsid w:val="00EE2708"/>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EE2708"/>
    <w:pPr>
      <w:keepLines/>
      <w:tabs>
        <w:tab w:val="center" w:pos="4536"/>
        <w:tab w:val="right" w:pos="9072"/>
      </w:tabs>
    </w:pPr>
    <w:rPr>
      <w:noProof/>
    </w:rPr>
  </w:style>
  <w:style w:type="paragraph" w:customStyle="1" w:styleId="NF">
    <w:name w:val="NF"/>
    <w:basedOn w:val="NO"/>
    <w:rsid w:val="00EE2708"/>
    <w:pPr>
      <w:keepNext/>
      <w:spacing w:after="0"/>
    </w:pPr>
    <w:rPr>
      <w:rFonts w:ascii="Arial" w:hAnsi="Arial"/>
      <w:sz w:val="18"/>
    </w:rPr>
  </w:style>
  <w:style w:type="paragraph" w:customStyle="1" w:styleId="PL">
    <w:name w:val="PL"/>
    <w:rsid w:val="00EE2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EE2708"/>
    <w:pPr>
      <w:jc w:val="right"/>
    </w:pPr>
  </w:style>
  <w:style w:type="paragraph" w:customStyle="1" w:styleId="TAN">
    <w:name w:val="TAN"/>
    <w:basedOn w:val="TAL"/>
    <w:rsid w:val="00EE2708"/>
    <w:pPr>
      <w:ind w:left="851" w:hanging="851"/>
    </w:pPr>
  </w:style>
  <w:style w:type="paragraph" w:customStyle="1" w:styleId="ZA">
    <w:name w:val="ZA"/>
    <w:rsid w:val="00EE2708"/>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EE2708"/>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EE2708"/>
    <w:pPr>
      <w:framePr w:wrap="notBeside" w:vAnchor="page" w:hAnchor="margin" w:y="15764"/>
      <w:widowControl w:val="0"/>
    </w:pPr>
    <w:rPr>
      <w:rFonts w:ascii="Arial" w:eastAsia="Times New Roman" w:hAnsi="Arial"/>
      <w:noProof/>
      <w:sz w:val="32"/>
      <w:lang w:eastAsia="en-US"/>
    </w:rPr>
  </w:style>
  <w:style w:type="paragraph" w:customStyle="1" w:styleId="ZU">
    <w:name w:val="ZU"/>
    <w:rsid w:val="00EE2708"/>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EE2708"/>
    <w:pPr>
      <w:framePr w:wrap="notBeside" w:y="16161"/>
    </w:pPr>
  </w:style>
  <w:style w:type="character" w:customStyle="1" w:styleId="ZGSM">
    <w:name w:val="ZGSM"/>
    <w:rsid w:val="00EE2708"/>
  </w:style>
  <w:style w:type="paragraph" w:styleId="List2">
    <w:name w:val="List 2"/>
    <w:basedOn w:val="List"/>
    <w:rsid w:val="00DB3A47"/>
    <w:pPr>
      <w:ind w:left="851"/>
    </w:pPr>
  </w:style>
  <w:style w:type="paragraph" w:customStyle="1" w:styleId="ZG">
    <w:name w:val="ZG"/>
    <w:rsid w:val="00EE2708"/>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EE2708"/>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Normal"/>
    <w:link w:val="B1Char"/>
    <w:rsid w:val="00EE2708"/>
    <w:pPr>
      <w:ind w:left="568" w:hanging="284"/>
    </w:pPr>
  </w:style>
  <w:style w:type="paragraph" w:customStyle="1" w:styleId="B2">
    <w:name w:val="B2"/>
    <w:basedOn w:val="Normal"/>
    <w:link w:val="B2Char"/>
    <w:rsid w:val="00EE2708"/>
    <w:pPr>
      <w:ind w:left="851" w:hanging="284"/>
    </w:pPr>
  </w:style>
  <w:style w:type="paragraph" w:customStyle="1" w:styleId="B3">
    <w:name w:val="B3"/>
    <w:basedOn w:val="Normal"/>
    <w:link w:val="B3Char"/>
    <w:rsid w:val="00EE2708"/>
    <w:pPr>
      <w:ind w:left="1135" w:hanging="284"/>
    </w:pPr>
  </w:style>
  <w:style w:type="paragraph" w:customStyle="1" w:styleId="B4">
    <w:name w:val="B4"/>
    <w:basedOn w:val="Normal"/>
    <w:rsid w:val="00EE2708"/>
    <w:pPr>
      <w:ind w:left="1418" w:hanging="284"/>
    </w:pPr>
  </w:style>
  <w:style w:type="paragraph" w:customStyle="1" w:styleId="B5">
    <w:name w:val="B5"/>
    <w:basedOn w:val="Normal"/>
    <w:rsid w:val="00EE2708"/>
    <w:pPr>
      <w:ind w:left="1702" w:hanging="284"/>
    </w:pPr>
  </w:style>
  <w:style w:type="paragraph" w:styleId="Footer">
    <w:name w:val="footer"/>
    <w:basedOn w:val="Header"/>
    <w:link w:val="FooterChar"/>
    <w:rsid w:val="00EE2708"/>
    <w:pPr>
      <w:jc w:val="center"/>
    </w:pPr>
    <w:rPr>
      <w:i/>
    </w:rPr>
  </w:style>
  <w:style w:type="paragraph" w:customStyle="1" w:styleId="ZTD">
    <w:name w:val="ZTD"/>
    <w:basedOn w:val="ZB"/>
    <w:rsid w:val="00EE2708"/>
    <w:pPr>
      <w:framePr w:hRule="auto" w:wrap="notBeside" w:y="852"/>
    </w:pPr>
    <w:rPr>
      <w:i w:val="0"/>
      <w:sz w:val="40"/>
    </w:rPr>
  </w:style>
  <w:style w:type="paragraph" w:customStyle="1" w:styleId="CRCoverPage">
    <w:name w:val="CR Cover Page"/>
    <w:rsid w:val="00EE2708"/>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EE2708"/>
    <w:pPr>
      <w:spacing w:after="220"/>
    </w:pPr>
    <w:rPr>
      <w:rFonts w:ascii="Arial" w:hAnsi="Arial"/>
      <w:sz w:val="22"/>
      <w:lang w:val="en-US"/>
    </w:rPr>
  </w:style>
  <w:style w:type="paragraph" w:customStyle="1" w:styleId="11BodyText">
    <w:name w:val="11 BodyText"/>
    <w:basedOn w:val="Normal"/>
    <w:rsid w:val="00DB3A47"/>
    <w:pPr>
      <w:spacing w:after="220"/>
      <w:ind w:left="1298"/>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eastAsia="Times New Roman" w:hAnsi="Times New Roman"/>
      <w:lang w:eastAsia="en-US"/>
    </w:rPr>
  </w:style>
  <w:style w:type="character" w:customStyle="1" w:styleId="B2Char">
    <w:name w:val="B2 Char"/>
    <w:link w:val="B2"/>
    <w:rsid w:val="004B529D"/>
    <w:rPr>
      <w:rFonts w:ascii="Times New Roman" w:eastAsia="Times New Roman" w:hAnsi="Times New Roman"/>
      <w:lang w:eastAsia="en-US"/>
    </w:rPr>
  </w:style>
  <w:style w:type="character" w:customStyle="1" w:styleId="B3Char">
    <w:name w:val="B3 Char"/>
    <w:link w:val="B3"/>
    <w:rsid w:val="004B529D"/>
    <w:rPr>
      <w:rFonts w:ascii="Times New Roman" w:eastAsia="Times New Roman" w:hAnsi="Times New Roman"/>
      <w:lang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eastAsia="Times New Roman" w:hAnsi="Times New Roman"/>
      <w:color w:val="FF0000"/>
      <w:lang w:eastAsia="en-US"/>
    </w:rPr>
  </w:style>
  <w:style w:type="character" w:customStyle="1" w:styleId="TALChar">
    <w:name w:val="TAL Char"/>
    <w:link w:val="TAL"/>
    <w:rsid w:val="00CA37F1"/>
    <w:rPr>
      <w:rFonts w:ascii="Arial" w:eastAsia="Times New Roman" w:hAnsi="Arial"/>
      <w:sz w:val="18"/>
      <w:lang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HeaderChar">
    <w:name w:val="Header Char"/>
    <w:aliases w:val="header odd Char"/>
    <w:basedOn w:val="DefaultParagraphFont"/>
    <w:link w:val="Header"/>
    <w:rsid w:val="00EE2708"/>
    <w:rPr>
      <w:rFonts w:ascii="Arial" w:eastAsia="Times New Roman" w:hAnsi="Arial"/>
      <w:b/>
      <w:noProof/>
      <w:sz w:val="18"/>
      <w:lang w:eastAsia="ja-JP"/>
    </w:rPr>
  </w:style>
  <w:style w:type="paragraph" w:styleId="Title">
    <w:name w:val="Title"/>
    <w:basedOn w:val="Normal"/>
    <w:next w:val="Normal"/>
    <w:link w:val="TitleChar"/>
    <w:uiPriority w:val="10"/>
    <w:qFormat/>
    <w:rsid w:val="00EE270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2708"/>
    <w:rPr>
      <w:rFonts w:asciiTheme="majorHAnsi" w:eastAsiaTheme="majorEastAsia" w:hAnsiTheme="majorHAnsi" w:cstheme="majorBidi"/>
      <w:spacing w:val="-10"/>
      <w:kern w:val="28"/>
      <w:sz w:val="56"/>
      <w:szCs w:val="56"/>
      <w:lang w:eastAsia="en-US"/>
    </w:rPr>
  </w:style>
  <w:style w:type="character" w:customStyle="1" w:styleId="FooterChar">
    <w:name w:val="Footer Char"/>
    <w:basedOn w:val="DefaultParagraphFont"/>
    <w:link w:val="Footer"/>
    <w:rsid w:val="00EE2708"/>
    <w:rPr>
      <w:rFonts w:ascii="Arial" w:eastAsia="Times New Roman" w:hAnsi="Arial"/>
      <w:b/>
      <w:i/>
      <w:noProof/>
      <w:sz w:val="18"/>
      <w:lang w:eastAsia="ja-JP"/>
    </w:rPr>
  </w:style>
  <w:style w:type="paragraph" w:customStyle="1" w:styleId="Guidance">
    <w:name w:val="Guidance"/>
    <w:basedOn w:val="Normal"/>
    <w:rsid w:val="00EE2708"/>
    <w:rPr>
      <w:i/>
      <w:color w:val="0000FF"/>
    </w:rPr>
  </w:style>
  <w:style w:type="character" w:customStyle="1" w:styleId="Heading1Char">
    <w:name w:val="Heading 1 Char"/>
    <w:basedOn w:val="DefaultParagraphFont"/>
    <w:link w:val="Heading1"/>
    <w:rsid w:val="00EE2708"/>
    <w:rPr>
      <w:rFonts w:ascii="Arial" w:eastAsia="Times New Roman" w:hAnsi="Arial"/>
      <w:sz w:val="36"/>
      <w:lang w:eastAsia="en-US"/>
    </w:rPr>
  </w:style>
  <w:style w:type="character" w:customStyle="1" w:styleId="Heading2Char">
    <w:name w:val="Heading 2 Char"/>
    <w:basedOn w:val="DefaultParagraphFont"/>
    <w:link w:val="Heading2"/>
    <w:rsid w:val="00EE2708"/>
    <w:rPr>
      <w:rFonts w:ascii="Arial" w:eastAsia="Times New Roman" w:hAnsi="Arial"/>
      <w:sz w:val="32"/>
      <w:lang w:eastAsia="en-US"/>
    </w:rPr>
  </w:style>
  <w:style w:type="character" w:customStyle="1" w:styleId="Heading3Char">
    <w:name w:val="Heading 3 Char"/>
    <w:basedOn w:val="DefaultParagraphFont"/>
    <w:link w:val="Heading3"/>
    <w:rsid w:val="00EE2708"/>
    <w:rPr>
      <w:rFonts w:ascii="Arial" w:eastAsia="Times New Roman" w:hAnsi="Arial"/>
      <w:sz w:val="28"/>
      <w:lang w:eastAsia="en-US"/>
    </w:rPr>
  </w:style>
  <w:style w:type="character" w:customStyle="1" w:styleId="Heading4Char">
    <w:name w:val="Heading 4 Char"/>
    <w:basedOn w:val="DefaultParagraphFont"/>
    <w:link w:val="Heading4"/>
    <w:rsid w:val="00EE2708"/>
    <w:rPr>
      <w:rFonts w:ascii="Arial" w:eastAsia="Times New Roman" w:hAnsi="Arial"/>
      <w:sz w:val="24"/>
      <w:lang w:eastAsia="en-US"/>
    </w:rPr>
  </w:style>
  <w:style w:type="character" w:customStyle="1" w:styleId="Heading5Char">
    <w:name w:val="Heading 5 Char"/>
    <w:basedOn w:val="DefaultParagraphFont"/>
    <w:link w:val="Heading5"/>
    <w:rsid w:val="00EE2708"/>
    <w:rPr>
      <w:rFonts w:ascii="Arial" w:eastAsia="Times New Roman" w:hAnsi="Arial"/>
      <w:sz w:val="22"/>
      <w:lang w:eastAsia="en-US"/>
    </w:rPr>
  </w:style>
  <w:style w:type="character" w:customStyle="1" w:styleId="Heading6Char">
    <w:name w:val="Heading 6 Char"/>
    <w:basedOn w:val="DefaultParagraphFont"/>
    <w:link w:val="Heading6"/>
    <w:rsid w:val="00EE2708"/>
    <w:rPr>
      <w:rFonts w:ascii="Arial" w:eastAsia="Times New Roman" w:hAnsi="Arial"/>
      <w:lang w:eastAsia="en-US"/>
    </w:rPr>
  </w:style>
  <w:style w:type="character" w:customStyle="1" w:styleId="Heading7Char">
    <w:name w:val="Heading 7 Char"/>
    <w:basedOn w:val="DefaultParagraphFont"/>
    <w:link w:val="Heading7"/>
    <w:rsid w:val="00EE2708"/>
    <w:rPr>
      <w:rFonts w:ascii="Arial" w:eastAsia="Times New Roman" w:hAnsi="Arial"/>
      <w:lang w:eastAsia="en-US"/>
    </w:rPr>
  </w:style>
  <w:style w:type="character" w:customStyle="1" w:styleId="Heading8Char">
    <w:name w:val="Heading 8 Char"/>
    <w:basedOn w:val="DefaultParagraphFont"/>
    <w:link w:val="Heading8"/>
    <w:rsid w:val="00EE2708"/>
    <w:rPr>
      <w:rFonts w:ascii="Arial" w:eastAsia="Times New Roman" w:hAnsi="Arial"/>
      <w:sz w:val="36"/>
      <w:lang w:eastAsia="en-US"/>
    </w:rPr>
  </w:style>
  <w:style w:type="character" w:customStyle="1" w:styleId="Heading9Char">
    <w:name w:val="Heading 9 Char"/>
    <w:basedOn w:val="DefaultParagraphFont"/>
    <w:link w:val="Heading9"/>
    <w:rsid w:val="00EE2708"/>
    <w:rPr>
      <w:rFonts w:ascii="Arial" w:eastAsia="Times New Roman" w:hAnsi="Arial"/>
      <w:sz w:val="36"/>
      <w:lang w:eastAsia="en-US"/>
    </w:rPr>
  </w:style>
  <w:style w:type="paragraph" w:customStyle="1" w:styleId="TAJ">
    <w:name w:val="TAJ"/>
    <w:basedOn w:val="TH"/>
    <w:rsid w:val="00EE2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3222637">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Props1.xml><?xml version="1.0" encoding="utf-8"?>
<ds:datastoreItem xmlns:ds="http://schemas.openxmlformats.org/officeDocument/2006/customXml" ds:itemID="{489E2AED-3E1A-4CDF-8779-72E4388F5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4B47A6-10CC-486F-B5F7-6248FEB4C371}">
  <ds:schemaRefs>
    <ds:schemaRef ds:uri="http://schemas.microsoft.com/sharepoint/v3/contenttype/forms"/>
  </ds:schemaRefs>
</ds:datastoreItem>
</file>

<file path=customXml/itemProps3.xml><?xml version="1.0" encoding="utf-8"?>
<ds:datastoreItem xmlns:ds="http://schemas.openxmlformats.org/officeDocument/2006/customXml" ds:itemID="{C7BFB278-A638-4448-A216-C5A5A214BA73}">
  <ds:schemaRefs>
    <ds:schemaRef ds:uri="http://schemas.microsoft.com/office/2006/metadata/longProperties"/>
  </ds:schemaRefs>
</ds:datastoreItem>
</file>

<file path=customXml/itemProps4.xml><?xml version="1.0" encoding="utf-8"?>
<ds:datastoreItem xmlns:ds="http://schemas.openxmlformats.org/officeDocument/2006/customXml" ds:itemID="{A85F7259-045E-4C8E-AE56-7E8C3794B334}">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1861</Words>
  <Characters>10611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2016-05-13T02:10:00Z</dcterms:created>
  <dcterms:modified xsi:type="dcterms:W3CDTF">2016-05-13T02:30:00Z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